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18909</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Chicago, US, November 13 - 17, 2023</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8</w:t>
      </w:r>
      <w:r>
        <w:rPr>
          <w:sz w:val="22"/>
          <w:highlight w:val="none"/>
        </w:rPr>
        <w:t>.3</w:t>
      </w:r>
      <w:r>
        <w:rPr>
          <w:rFonts w:hint="eastAsia"/>
          <w:sz w:val="22"/>
          <w:highlight w:val="none"/>
          <w:lang w:val="en-US" w:eastAsia="zh-CN"/>
        </w:rPr>
        <w:t>4</w:t>
      </w:r>
      <w:r>
        <w:rPr>
          <w:sz w:val="22"/>
          <w:highlight w:val="none"/>
        </w:rPr>
        <w:t>.</w:t>
      </w:r>
      <w:r>
        <w:rPr>
          <w:rFonts w:hint="eastAsia"/>
          <w:sz w:val="22"/>
          <w:highlight w:val="none"/>
          <w:lang w:val="en-US" w:eastAsia="zh-CN"/>
        </w:rPr>
        <w:t>3.1</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 xml:space="preserve">Discussion on RRM impact </w:t>
      </w:r>
      <w:r>
        <w:rPr>
          <w:rFonts w:hint="eastAsia"/>
          <w:sz w:val="22"/>
          <w:lang w:val="en-US" w:eastAsia="zh-CN"/>
        </w:rPr>
        <w:t>of</w:t>
      </w:r>
      <w:r>
        <w:rPr>
          <w:rFonts w:hint="eastAsia"/>
          <w:sz w:val="22"/>
        </w:rPr>
        <w:t xml:space="preserve"> cell DTX</w:t>
      </w:r>
      <w:r>
        <w:rPr>
          <w:rFonts w:hint="eastAsia"/>
          <w:sz w:val="22"/>
          <w:lang w:val="en-US" w:eastAsia="zh-CN"/>
        </w:rPr>
        <w:t>/</w:t>
      </w:r>
      <w:r>
        <w:rPr>
          <w:rFonts w:hint="eastAsia"/>
          <w:sz w:val="22"/>
        </w:rPr>
        <w:t>DRX and CHO for network energy saving</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w:t>
      </w:r>
      <w:r>
        <w:rPr>
          <w:rFonts w:hint="default"/>
          <w:sz w:val="20"/>
          <w:szCs w:val="20"/>
          <w:lang w:val="en-US" w:eastAsia="zh-CN"/>
        </w:rPr>
        <w:t>’</w:t>
      </w:r>
      <w:r>
        <w:rPr>
          <w:rFonts w:hint="eastAsia"/>
          <w:sz w:val="20"/>
          <w:szCs w:val="20"/>
          <w:lang w:val="en-US" w:eastAsia="zh-CN"/>
        </w:rPr>
        <w:t>s achieved initial agreements for the RRM impact of cell DTX/DRX, power/spatial domain mechanism and CHO, the WF has been approved [1]. I</w:t>
      </w:r>
      <w:r>
        <w:rPr>
          <w:sz w:val="20"/>
          <w:szCs w:val="20"/>
        </w:rPr>
        <w:t xml:space="preserve">n this contribution, we </w:t>
      </w:r>
      <w:r>
        <w:rPr>
          <w:rFonts w:hint="eastAsia"/>
          <w:sz w:val="20"/>
          <w:szCs w:val="20"/>
          <w:lang w:val="en-US" w:eastAsia="zh-CN"/>
        </w:rPr>
        <w:t>keep discussing the RRM impact based on further output from RAN1 and RAN2.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spacing w:after="180"/>
        <w:rPr>
          <w:rFonts w:eastAsia="宋体"/>
          <w:b/>
          <w:i/>
          <w:iCs/>
          <w:sz w:val="20"/>
          <w:szCs w:val="20"/>
          <w:u w:val="single"/>
          <w:lang w:val="en-GB" w:eastAsia="ko-KR"/>
        </w:rPr>
      </w:pPr>
      <w:r>
        <w:rPr>
          <w:rFonts w:eastAsia="宋体"/>
          <w:b/>
          <w:i/>
          <w:iCs/>
          <w:sz w:val="20"/>
          <w:szCs w:val="20"/>
          <w:u w:val="single"/>
          <w:lang w:val="en-GB" w:eastAsia="ko-KR"/>
        </w:rPr>
        <w:t>Issue 2-1: RRM impacts of Cell DTX/DRX – general</w:t>
      </w:r>
    </w:p>
    <w:p>
      <w:pPr>
        <w:spacing w:after="180"/>
        <w:rPr>
          <w:rFonts w:eastAsia="宋体"/>
          <w:i/>
          <w:iCs/>
          <w:sz w:val="20"/>
          <w:szCs w:val="20"/>
          <w:lang w:val="en-GB" w:eastAsia="zh-CN"/>
        </w:rPr>
      </w:pPr>
      <w:r>
        <w:rPr>
          <w:rFonts w:eastAsia="宋体"/>
          <w:i/>
          <w:iCs/>
          <w:sz w:val="20"/>
          <w:szCs w:val="20"/>
          <w:lang w:val="en-GB" w:eastAsia="zh-CN"/>
        </w:rPr>
        <w:t>Agreement:</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There is no RRM impacts for cell DTX assuming that following RS are not impacted by Cell DTX</w:t>
      </w:r>
    </w:p>
    <w:p>
      <w:pPr>
        <w:numPr>
          <w:ilvl w:val="1"/>
          <w:numId w:val="4"/>
        </w:numPr>
        <w:tabs>
          <w:tab w:val="left" w:pos="0"/>
        </w:tabs>
        <w:suppressAutoHyphens/>
        <w:overflowPunct w:val="0"/>
        <w:spacing w:after="0" w:line="252" w:lineRule="auto"/>
        <w:ind w:left="1440" w:hanging="360"/>
        <w:jc w:val="both"/>
        <w:rPr>
          <w:rFonts w:eastAsia="MS Mincho"/>
          <w:i/>
          <w:iCs/>
          <w:sz w:val="20"/>
          <w:szCs w:val="20"/>
          <w:lang w:val="en-GB" w:eastAsia="zh-CN"/>
        </w:rPr>
      </w:pPr>
      <w:r>
        <w:rPr>
          <w:rFonts w:eastAsia="MS Mincho"/>
          <w:i/>
          <w:iCs/>
          <w:sz w:val="20"/>
          <w:szCs w:val="20"/>
          <w:lang w:val="en-GB" w:eastAsia="zh-CN"/>
        </w:rPr>
        <w:t>PRS</w:t>
      </w:r>
    </w:p>
    <w:p>
      <w:pPr>
        <w:numPr>
          <w:ilvl w:val="1"/>
          <w:numId w:val="4"/>
        </w:numPr>
        <w:tabs>
          <w:tab w:val="left" w:pos="0"/>
        </w:tabs>
        <w:suppressAutoHyphens/>
        <w:overflowPunct w:val="0"/>
        <w:spacing w:after="0" w:line="252" w:lineRule="auto"/>
        <w:ind w:left="1440" w:hanging="360"/>
        <w:jc w:val="both"/>
        <w:rPr>
          <w:rFonts w:eastAsia="MS Mincho"/>
          <w:i/>
          <w:iCs/>
          <w:sz w:val="20"/>
          <w:szCs w:val="20"/>
          <w:lang w:val="en-GB" w:eastAsia="zh-CN"/>
        </w:rPr>
      </w:pPr>
      <w:r>
        <w:rPr>
          <w:rFonts w:eastAsia="MS Mincho"/>
          <w:i/>
          <w:iCs/>
          <w:sz w:val="20"/>
          <w:szCs w:val="20"/>
          <w:lang w:val="en-GB" w:eastAsia="zh-CN"/>
        </w:rPr>
        <w:t>CSI-RS configured by measObjectNR (for RRM)</w:t>
      </w:r>
    </w:p>
    <w:p>
      <w:pPr>
        <w:numPr>
          <w:ilvl w:val="1"/>
          <w:numId w:val="4"/>
        </w:numPr>
        <w:tabs>
          <w:tab w:val="left" w:pos="0"/>
        </w:tabs>
        <w:suppressAutoHyphens/>
        <w:overflowPunct w:val="0"/>
        <w:spacing w:after="0" w:line="252" w:lineRule="auto"/>
        <w:ind w:left="1440" w:hanging="360"/>
        <w:jc w:val="both"/>
        <w:rPr>
          <w:rFonts w:eastAsia="MS Mincho"/>
          <w:i/>
          <w:iCs/>
          <w:sz w:val="20"/>
          <w:szCs w:val="20"/>
          <w:lang w:val="en-GB" w:eastAsia="zh-CN"/>
        </w:rPr>
      </w:pPr>
      <w:r>
        <w:rPr>
          <w:rFonts w:eastAsia="MS Mincho"/>
          <w:i/>
          <w:iCs/>
          <w:sz w:val="20"/>
          <w:szCs w:val="20"/>
          <w:lang w:val="en-GB" w:eastAsia="zh-CN"/>
        </w:rPr>
        <w:t>CSI-RS associated with RadioLinkMonitoringConfig and BeamFailureDectection (for RLM and BFD)</w:t>
      </w:r>
    </w:p>
    <w:p>
      <w:pPr>
        <w:numPr>
          <w:ilvl w:val="1"/>
          <w:numId w:val="4"/>
        </w:numPr>
        <w:tabs>
          <w:tab w:val="left" w:pos="0"/>
        </w:tabs>
        <w:suppressAutoHyphens/>
        <w:overflowPunct w:val="0"/>
        <w:spacing w:after="0" w:line="252" w:lineRule="auto"/>
        <w:ind w:left="1440" w:hanging="360"/>
        <w:jc w:val="both"/>
        <w:rPr>
          <w:rFonts w:eastAsia="MS Mincho"/>
          <w:i/>
          <w:iCs/>
          <w:sz w:val="20"/>
          <w:szCs w:val="20"/>
          <w:lang w:val="en-GB" w:eastAsia="zh-CN"/>
        </w:rPr>
      </w:pPr>
      <w:r>
        <w:rPr>
          <w:rFonts w:eastAsia="MS Mincho"/>
          <w:i/>
          <w:iCs/>
          <w:sz w:val="20"/>
          <w:szCs w:val="20"/>
          <w:lang w:val="en-GB" w:eastAsia="zh-CN"/>
        </w:rPr>
        <w:t>Periodic CSI-RS configured with trs-Info ‘true’ (for tracking)</w:t>
      </w:r>
    </w:p>
    <w:p>
      <w:pPr>
        <w:numPr>
          <w:ilvl w:val="1"/>
          <w:numId w:val="4"/>
        </w:numPr>
        <w:tabs>
          <w:tab w:val="left" w:pos="0"/>
        </w:tabs>
        <w:suppressAutoHyphens/>
        <w:overflowPunct w:val="0"/>
        <w:spacing w:after="0" w:line="252" w:lineRule="auto"/>
        <w:ind w:left="1440" w:hanging="360"/>
        <w:jc w:val="both"/>
        <w:rPr>
          <w:rFonts w:eastAsia="MS Mincho"/>
          <w:i/>
          <w:iCs/>
          <w:sz w:val="20"/>
          <w:szCs w:val="20"/>
          <w:lang w:val="en-GB" w:eastAsia="zh-CN"/>
        </w:rPr>
      </w:pPr>
      <w:r>
        <w:rPr>
          <w:rFonts w:eastAsia="MS Mincho"/>
          <w:i/>
          <w:iCs/>
          <w:sz w:val="20"/>
          <w:szCs w:val="20"/>
          <w:lang w:val="en-GB" w:eastAsia="zh-CN"/>
        </w:rPr>
        <w:t>Periodic/Semi-persistent CSI-RS (for BM)</w:t>
      </w:r>
    </w:p>
    <w:p>
      <w:pPr>
        <w:numPr>
          <w:ilvl w:val="0"/>
          <w:numId w:val="4"/>
        </w:numPr>
        <w:overflowPunct w:val="0"/>
        <w:autoSpaceDE w:val="0"/>
        <w:autoSpaceDN w:val="0"/>
        <w:adjustRightInd w:val="0"/>
        <w:spacing w:after="180"/>
        <w:ind w:left="720" w:hanging="360" w:firstLineChars="0"/>
        <w:jc w:val="left"/>
        <w:textAlignment w:val="baseline"/>
        <w:rPr>
          <w:rFonts w:ascii="Times New Roman" w:hAnsi="Times New Roman" w:eastAsia="MS Mincho" w:cs="Times New Roman"/>
          <w:i/>
          <w:iCs/>
          <w:sz w:val="20"/>
          <w:szCs w:val="20"/>
          <w:lang w:val="en-GB" w:eastAsia="zh-CN" w:bidi="ar-SA"/>
        </w:rPr>
      </w:pPr>
      <w:r>
        <w:rPr>
          <w:rFonts w:ascii="Times New Roman" w:hAnsi="Times New Roman" w:eastAsia="MS Mincho" w:cs="Times New Roman"/>
          <w:i/>
          <w:iCs/>
          <w:sz w:val="20"/>
          <w:szCs w:val="20"/>
          <w:lang w:val="en-GB" w:eastAsia="zh-CN" w:bidi="ar-SA"/>
        </w:rPr>
        <w:t>FFS whether there is impact on SCell activation requirements of Cell DTX.</w:t>
      </w:r>
    </w:p>
    <w:p>
      <w:pPr>
        <w:overflowPunct w:val="0"/>
        <w:autoSpaceDE w:val="0"/>
        <w:autoSpaceDN w:val="0"/>
        <w:adjustRightInd w:val="0"/>
        <w:spacing w:after="120"/>
        <w:jc w:val="both"/>
        <w:rPr>
          <w:rFonts w:hint="eastAsia" w:cs="Times New Roman"/>
          <w:sz w:val="20"/>
          <w:szCs w:val="20"/>
          <w:lang w:val="en-US" w:eastAsia="zh-CN"/>
        </w:rPr>
      </w:pPr>
      <w:r>
        <w:rPr>
          <w:rFonts w:hint="eastAsia" w:ascii="Times New Roman" w:hAnsi="Times New Roman" w:cs="Times New Roman"/>
          <w:sz w:val="20"/>
          <w:szCs w:val="20"/>
          <w:lang w:val="en-US" w:eastAsia="zh-CN"/>
        </w:rPr>
        <w:t xml:space="preserve">Based on our understanding, it is not typical that network configure SSB-less SCell activation and SSB-less SCell DTX simultaneously. </w:t>
      </w:r>
      <w:r>
        <w:rPr>
          <w:rFonts w:hint="eastAsia" w:cs="Times New Roman"/>
          <w:sz w:val="20"/>
          <w:szCs w:val="20"/>
          <w:lang w:val="en-US" w:eastAsia="zh-CN"/>
        </w:rPr>
        <w:t>Therefore, there is no need to further consider the impact on SCell activation requirements of cell DTX.</w:t>
      </w:r>
    </w:p>
    <w:p>
      <w:pPr>
        <w:overflowPunct w:val="0"/>
        <w:autoSpaceDE w:val="0"/>
        <w:autoSpaceDN w:val="0"/>
        <w:adjustRightInd w:val="0"/>
        <w:spacing w:after="120"/>
        <w:rPr>
          <w:rFonts w:hint="eastAsia"/>
          <w:b/>
          <w:bCs/>
          <w:i/>
          <w:iCs/>
          <w:sz w:val="20"/>
          <w:szCs w:val="20"/>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I</w:t>
      </w:r>
      <w:r>
        <w:rPr>
          <w:rFonts w:hint="eastAsia"/>
          <w:b/>
          <w:bCs/>
          <w:i/>
          <w:iCs/>
          <w:sz w:val="20"/>
          <w:szCs w:val="20"/>
        </w:rPr>
        <w:t>t is not typical that network configure SSB-less SCell activation and SSB-less SCell DTX simultaneously.</w:t>
      </w:r>
    </w:p>
    <w:p>
      <w:pPr>
        <w:overflowPunct w:val="0"/>
        <w:autoSpaceDE w:val="0"/>
        <w:autoSpaceDN w:val="0"/>
        <w:adjustRightInd w:val="0"/>
        <w:spacing w:after="120"/>
        <w:rPr>
          <w:rFonts w:hint="default" w:eastAsiaTheme="minorEastAsia"/>
          <w:b/>
          <w:bCs/>
          <w:i/>
          <w:iCs/>
          <w:sz w:val="20"/>
          <w:szCs w:val="20"/>
          <w:lang w:val="en-US" w:eastAsia="zh-CN"/>
        </w:rPr>
      </w:pPr>
      <w:r>
        <w:rPr>
          <w:rFonts w:hint="eastAsia"/>
          <w:b/>
          <w:bCs/>
          <w:i/>
          <w:iCs/>
          <w:sz w:val="20"/>
          <w:szCs w:val="20"/>
          <w:lang w:val="en-US" w:eastAsia="zh-CN"/>
        </w:rPr>
        <w:t>Proposal 1: No need to further consider the impact on SCell activation requirements of cell DTX.</w:t>
      </w:r>
    </w:p>
    <w:p>
      <w:pPr>
        <w:spacing w:after="180"/>
        <w:rPr>
          <w:rFonts w:eastAsia="宋体"/>
          <w:b/>
          <w:sz w:val="20"/>
          <w:szCs w:val="20"/>
          <w:u w:val="single"/>
          <w:lang w:val="en-GB" w:eastAsia="ko-KR"/>
        </w:rPr>
      </w:pPr>
    </w:p>
    <w:p>
      <w:pPr>
        <w:spacing w:after="180"/>
        <w:rPr>
          <w:rFonts w:eastAsia="宋体"/>
          <w:b/>
          <w:i/>
          <w:iCs/>
          <w:sz w:val="20"/>
          <w:szCs w:val="20"/>
          <w:u w:val="single"/>
          <w:lang w:val="en-GB" w:eastAsia="ko-KR"/>
        </w:rPr>
      </w:pPr>
      <w:r>
        <w:rPr>
          <w:rFonts w:eastAsia="宋体"/>
          <w:b/>
          <w:i/>
          <w:iCs/>
          <w:sz w:val="20"/>
          <w:szCs w:val="20"/>
          <w:u w:val="single"/>
          <w:lang w:val="en-GB" w:eastAsia="ko-KR"/>
        </w:rPr>
        <w:t>Issue 2-3: RRM impacts of CHO</w:t>
      </w:r>
    </w:p>
    <w:p>
      <w:pPr>
        <w:numPr>
          <w:ilvl w:val="0"/>
          <w:numId w:val="5"/>
        </w:numPr>
        <w:overflowPunct/>
        <w:autoSpaceDE/>
        <w:autoSpaceDN/>
        <w:adjustRightInd/>
        <w:spacing w:after="120"/>
        <w:ind w:left="720" w:firstLine="42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pPr>
        <w:numPr>
          <w:ilvl w:val="1"/>
          <w:numId w:val="5"/>
        </w:numPr>
        <w:overflowPunct/>
        <w:autoSpaceDE/>
        <w:autoSpaceDN/>
        <w:adjustRightInd/>
        <w:spacing w:after="120"/>
        <w:ind w:left="1440" w:firstLine="42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 RAN4 to wait RAN2’s further progress on CHO enhancement in NES. (Ericsson, Intel)</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1a:</w:t>
      </w:r>
      <w:r>
        <w:rPr>
          <w:rFonts w:ascii="Times New Roman" w:hAnsi="Times New Roman" w:eastAsia="MS Mincho" w:cs="Times New Roman"/>
          <w:i/>
          <w:iCs/>
          <w:sz w:val="20"/>
          <w:szCs w:val="20"/>
          <w:lang w:val="en-GB" w:eastAsia="en-US" w:bidi="ar-SA"/>
        </w:rPr>
        <w:t xml:space="preserve"> </w:t>
      </w:r>
      <w:r>
        <w:rPr>
          <w:rFonts w:ascii="Times New Roman" w:hAnsi="Times New Roman" w:eastAsia="宋体" w:cs="Times New Roman"/>
          <w:i/>
          <w:iCs/>
          <w:sz w:val="20"/>
          <w:szCs w:val="20"/>
          <w:lang w:val="en-GB" w:eastAsia="zh-CN" w:bidi="ar-SA"/>
        </w:rPr>
        <w:t>RAN4 is to discuss new triggering of CHO in core requirements and test cases according to further RAN2 conclusions. (Intel)</w:t>
      </w:r>
    </w:p>
    <w:p>
      <w:pPr>
        <w:numPr>
          <w:ilvl w:val="2"/>
          <w:numId w:val="5"/>
        </w:numPr>
        <w:overflowPunct/>
        <w:autoSpaceDE/>
        <w:autoSpaceDN/>
        <w:adjustRightInd/>
        <w:spacing w:after="12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1b:</w:t>
      </w:r>
      <w:r>
        <w:rPr>
          <w:rFonts w:ascii="Times New Roman" w:hAnsi="Times New Roman" w:eastAsia="MS Mincho" w:cs="Times New Roman"/>
          <w:i/>
          <w:iCs/>
          <w:sz w:val="20"/>
          <w:szCs w:val="20"/>
          <w:lang w:val="en-GB" w:eastAsia="en-US" w:bidi="ar-SA"/>
        </w:rPr>
        <w:t xml:space="preserve"> </w:t>
      </w:r>
      <w:r>
        <w:rPr>
          <w:rFonts w:ascii="Times New Roman" w:hAnsi="Times New Roman" w:eastAsia="宋体" w:cs="Times New Roman"/>
          <w:i/>
          <w:iCs/>
          <w:sz w:val="20"/>
          <w:szCs w:val="20"/>
          <w:lang w:val="en-GB" w:eastAsia="zh-CN" w:bidi="ar-SA"/>
        </w:rPr>
        <w:t>RAN4 to study the impact of CHO procedure due to cell switch off. (Ericson)</w:t>
      </w:r>
    </w:p>
    <w:p>
      <w:pPr>
        <w:spacing w:after="120"/>
        <w:jc w:val="both"/>
        <w:rPr>
          <w:rFonts w:hint="default" w:eastAsia="宋体"/>
          <w:sz w:val="20"/>
          <w:szCs w:val="24"/>
          <w:lang w:val="en-US" w:eastAsia="zh-CN"/>
        </w:rPr>
      </w:pPr>
      <w:r>
        <w:rPr>
          <w:rFonts w:hint="eastAsia" w:eastAsia="宋体"/>
          <w:sz w:val="20"/>
          <w:szCs w:val="24"/>
          <w:lang w:val="en-US" w:eastAsia="zh-CN"/>
        </w:rPr>
        <w:t>RAN2 discussed the NES mode notification and NES CHO configuration details, following agreements has been achieved so far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180"/>
              <w:rPr>
                <w:rFonts w:hint="eastAsia" w:eastAsia="宋体"/>
                <w:b/>
                <w:i/>
                <w:iCs/>
                <w:sz w:val="20"/>
                <w:szCs w:val="20"/>
                <w:u w:val="none"/>
                <w:vertAlign w:val="baseline"/>
                <w:lang w:val="en-GB" w:eastAsia="ko-KR"/>
              </w:rPr>
            </w:pPr>
            <w:r>
              <w:rPr>
                <w:rFonts w:hint="eastAsia" w:eastAsia="宋体"/>
                <w:b/>
                <w:i/>
                <w:iCs/>
                <w:sz w:val="20"/>
                <w:szCs w:val="20"/>
                <w:u w:val="none"/>
                <w:vertAlign w:val="baseline"/>
                <w:lang w:val="en-GB" w:eastAsia="ko-KR"/>
              </w:rPr>
              <w:t>Agreements</w:t>
            </w:r>
          </w:p>
          <w:p>
            <w:pPr>
              <w:spacing w:after="180"/>
              <w:rPr>
                <w:rFonts w:hint="eastAsia" w:eastAsia="宋体"/>
                <w:b w:val="0"/>
                <w:bCs/>
                <w:i/>
                <w:iCs/>
                <w:sz w:val="20"/>
                <w:szCs w:val="20"/>
                <w:u w:val="none"/>
                <w:vertAlign w:val="baseline"/>
                <w:lang w:val="en-GB" w:eastAsia="ko-KR"/>
              </w:rPr>
            </w:pPr>
            <w:r>
              <w:rPr>
                <w:rFonts w:hint="eastAsia" w:eastAsia="宋体"/>
                <w:b w:val="0"/>
                <w:bCs/>
                <w:i/>
                <w:iCs/>
                <w:sz w:val="20"/>
                <w:szCs w:val="20"/>
                <w:u w:val="none"/>
                <w:vertAlign w:val="baseline"/>
                <w:lang w:val="en-GB" w:eastAsia="ko-KR"/>
              </w:rPr>
              <w:t>Group common DCI format 2-X is reused to notify the UE that source cell is entering NES mode.</w:t>
            </w:r>
          </w:p>
          <w:p>
            <w:pPr>
              <w:numPr>
                <w:ilvl w:val="0"/>
                <w:numId w:val="6"/>
              </w:numPr>
              <w:spacing w:after="180"/>
              <w:ind w:left="420" w:leftChars="0" w:hanging="420" w:firstLineChars="0"/>
              <w:rPr>
                <w:rFonts w:hint="eastAsia" w:eastAsia="宋体"/>
                <w:b w:val="0"/>
                <w:bCs/>
                <w:i/>
                <w:iCs/>
                <w:sz w:val="20"/>
                <w:szCs w:val="20"/>
                <w:u w:val="none"/>
                <w:vertAlign w:val="baseline"/>
                <w:lang w:val="en-GB" w:eastAsia="ko-KR"/>
              </w:rPr>
            </w:pPr>
            <w:r>
              <w:rPr>
                <w:rFonts w:hint="eastAsia" w:eastAsia="宋体"/>
                <w:b w:val="0"/>
                <w:bCs/>
                <w:i/>
                <w:iCs/>
                <w:sz w:val="20"/>
                <w:szCs w:val="20"/>
                <w:u w:val="none"/>
                <w:vertAlign w:val="baseline"/>
                <w:lang w:val="en-GB" w:eastAsia="ko-KR"/>
              </w:rPr>
              <w:t>add one bit of DCI 2-X to trigger both use cases of Cell DTX/DRX activation and cell turning off. RAN2 send LS to RAN1 to request this signaling change.</w:t>
            </w:r>
          </w:p>
          <w:p>
            <w:pPr>
              <w:spacing w:after="180"/>
              <w:rPr>
                <w:rFonts w:hint="eastAsia" w:eastAsia="宋体"/>
                <w:b w:val="0"/>
                <w:bCs/>
                <w:i/>
                <w:iCs/>
                <w:sz w:val="20"/>
                <w:szCs w:val="20"/>
                <w:u w:val="none"/>
                <w:vertAlign w:val="baseline"/>
                <w:lang w:val="en-GB" w:eastAsia="ko-KR"/>
              </w:rPr>
            </w:pPr>
            <w:r>
              <w:rPr>
                <w:rFonts w:hint="eastAsia" w:eastAsia="宋体"/>
                <w:b w:val="0"/>
                <w:bCs/>
                <w:i/>
                <w:iCs/>
                <w:sz w:val="20"/>
                <w:szCs w:val="20"/>
                <w:u w:val="none"/>
                <w:vertAlign w:val="baseline"/>
                <w:lang w:val="en-GB" w:eastAsia="ko-KR"/>
              </w:rPr>
              <w:t>RAN2 will not specify anything related to target cell NES mode for CHO</w:t>
            </w:r>
          </w:p>
          <w:p>
            <w:pPr>
              <w:spacing w:after="180"/>
              <w:rPr>
                <w:rFonts w:hint="default" w:eastAsia="宋体"/>
                <w:b/>
                <w:bCs w:val="0"/>
                <w:i/>
                <w:iCs/>
                <w:sz w:val="20"/>
                <w:szCs w:val="20"/>
                <w:u w:val="none"/>
                <w:vertAlign w:val="baseline"/>
                <w:lang w:val="en-US" w:eastAsia="zh-CN"/>
              </w:rPr>
            </w:pPr>
            <w:r>
              <w:rPr>
                <w:rFonts w:hint="eastAsia" w:eastAsia="宋体"/>
                <w:b/>
                <w:bCs w:val="0"/>
                <w:i/>
                <w:iCs/>
                <w:sz w:val="20"/>
                <w:szCs w:val="20"/>
                <w:u w:val="none"/>
                <w:vertAlign w:val="baseline"/>
                <w:lang w:val="en-US" w:eastAsia="zh-CN"/>
              </w:rPr>
              <w:t>Open issue</w:t>
            </w:r>
          </w:p>
          <w:p>
            <w:pPr>
              <w:spacing w:after="180"/>
              <w:rPr>
                <w:rFonts w:hint="eastAsia" w:eastAsia="宋体"/>
                <w:b w:val="0"/>
                <w:bCs/>
                <w:i/>
                <w:iCs/>
                <w:sz w:val="20"/>
                <w:szCs w:val="20"/>
                <w:u w:val="none"/>
                <w:vertAlign w:val="baseline"/>
                <w:lang w:val="en-GB" w:eastAsia="zh-CN"/>
              </w:rPr>
            </w:pPr>
            <w:r>
              <w:rPr>
                <w:rFonts w:hint="eastAsia" w:eastAsia="宋体"/>
                <w:b w:val="0"/>
                <w:bCs/>
                <w:i/>
                <w:iCs/>
                <w:sz w:val="20"/>
                <w:szCs w:val="20"/>
                <w:u w:val="none"/>
                <w:vertAlign w:val="baseline"/>
                <w:lang w:val="en-GB" w:eastAsia="zh-CN"/>
              </w:rPr>
              <w:drawing>
                <wp:inline distT="0" distB="0" distL="114300" distR="114300">
                  <wp:extent cx="5783580" cy="690245"/>
                  <wp:effectExtent l="0" t="0" r="7620" b="8255"/>
                  <wp:docPr id="1" name="图片 1" descr="c555cf950daa7f21eb0034de5147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555cf950daa7f21eb0034de5147851"/>
                          <pic:cNvPicPr>
                            <a:picLocks noChangeAspect="1"/>
                          </pic:cNvPicPr>
                        </pic:nvPicPr>
                        <pic:blipFill>
                          <a:blip r:embed="rId4"/>
                          <a:srcRect t="11193"/>
                          <a:stretch>
                            <a:fillRect/>
                          </a:stretch>
                        </pic:blipFill>
                        <pic:spPr>
                          <a:xfrm>
                            <a:off x="0" y="0"/>
                            <a:ext cx="5783580" cy="690245"/>
                          </a:xfrm>
                          <a:prstGeom prst="rect">
                            <a:avLst/>
                          </a:prstGeom>
                        </pic:spPr>
                      </pic:pic>
                    </a:graphicData>
                  </a:graphic>
                </wp:inline>
              </w:drawing>
            </w:r>
          </w:p>
        </w:tc>
      </w:tr>
    </w:tbl>
    <w:p>
      <w:pPr>
        <w:spacing w:after="120"/>
        <w:jc w:val="both"/>
        <w:rPr>
          <w:rFonts w:hint="eastAsia" w:eastAsia="宋体"/>
          <w:sz w:val="20"/>
          <w:szCs w:val="24"/>
          <w:lang w:val="en-US" w:eastAsia="zh-CN"/>
        </w:rPr>
      </w:pPr>
      <w:r>
        <w:rPr>
          <w:rFonts w:hint="eastAsia" w:eastAsia="宋体"/>
          <w:sz w:val="20"/>
          <w:szCs w:val="24"/>
          <w:lang w:val="en-US" w:eastAsia="zh-CN"/>
        </w:rPr>
        <w:t xml:space="preserve">Based on our understanding, the NES CHO procedure after UE beginning to evaluate the CHO conditions is basically same as legacy CHO. However, it is not yet clear when UE will start the evaluation of NES CHO condition, which may depends on the </w:t>
      </w:r>
      <w:bookmarkStart w:id="9" w:name="_GoBack"/>
      <w:bookmarkEnd w:id="9"/>
      <w:r>
        <w:rPr>
          <w:rFonts w:hint="eastAsia" w:eastAsia="宋体"/>
          <w:sz w:val="20"/>
          <w:szCs w:val="24"/>
          <w:lang w:val="en-US" w:eastAsia="zh-CN"/>
        </w:rPr>
        <w:t>network configuration order of the NES mode notification (DCI format 2-X) and NES CHO configuration (RRC signaling).</w:t>
      </w:r>
    </w:p>
    <w:p>
      <w:pPr>
        <w:spacing w:after="120"/>
        <w:jc w:val="both"/>
        <w:rPr>
          <w:rFonts w:hint="default" w:eastAsia="宋体"/>
          <w:sz w:val="20"/>
          <w:szCs w:val="24"/>
          <w:lang w:val="en-US" w:eastAsia="zh-CN"/>
        </w:rPr>
      </w:pPr>
      <w:r>
        <w:rPr>
          <w:rFonts w:hint="eastAsia" w:eastAsia="宋体"/>
          <w:sz w:val="20"/>
          <w:szCs w:val="24"/>
          <w:lang w:val="en-US" w:eastAsia="zh-CN"/>
        </w:rPr>
        <w:t>Therefore, we propose to use the legacy CHO requirement as the starting point and wait more output from RAN2.</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Use the legacy CHO requirement as the starting point and wait more output from RAN2.</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7"/>
      <w:bookmarkEnd w:id="8"/>
    </w:p>
    <w:p>
      <w:pPr>
        <w:overflowPunct w:val="0"/>
        <w:autoSpaceDE w:val="0"/>
        <w:autoSpaceDN w:val="0"/>
        <w:adjustRightInd w:val="0"/>
        <w:spacing w:after="120"/>
        <w:rPr>
          <w:rFonts w:hint="eastAsia"/>
          <w:b/>
          <w:bCs/>
          <w:i/>
          <w:iCs/>
          <w:sz w:val="20"/>
          <w:szCs w:val="20"/>
        </w:rPr>
      </w:pPr>
      <w:r>
        <w:rPr>
          <w:rFonts w:hint="eastAsia"/>
          <w:b/>
          <w:bCs/>
          <w:i/>
          <w:iCs/>
          <w:sz w:val="20"/>
          <w:szCs w:val="20"/>
          <w:lang w:val="en-US" w:eastAsia="zh-CN"/>
        </w:rPr>
        <w:t>Observation 1</w:t>
      </w:r>
      <w:r>
        <w:rPr>
          <w:b/>
          <w:bCs/>
          <w:i/>
          <w:iCs/>
          <w:sz w:val="20"/>
          <w:szCs w:val="20"/>
        </w:rPr>
        <w:t xml:space="preserve">: </w:t>
      </w:r>
      <w:r>
        <w:rPr>
          <w:rFonts w:hint="eastAsia"/>
          <w:b/>
          <w:bCs/>
          <w:i/>
          <w:iCs/>
          <w:sz w:val="20"/>
          <w:szCs w:val="20"/>
          <w:lang w:val="en-US" w:eastAsia="zh-CN"/>
        </w:rPr>
        <w:t>I</w:t>
      </w:r>
      <w:r>
        <w:rPr>
          <w:rFonts w:hint="eastAsia"/>
          <w:b/>
          <w:bCs/>
          <w:i/>
          <w:iCs/>
          <w:sz w:val="20"/>
          <w:szCs w:val="20"/>
        </w:rPr>
        <w:t>t is not typical that network configure SSB-less SCell activation and SSB-less SCell DTX simultaneously.</w:t>
      </w:r>
    </w:p>
    <w:p>
      <w:pPr>
        <w:overflowPunct w:val="0"/>
        <w:autoSpaceDE w:val="0"/>
        <w:autoSpaceDN w:val="0"/>
        <w:adjustRightInd w:val="0"/>
        <w:spacing w:after="120"/>
        <w:rPr>
          <w:rFonts w:hint="default" w:eastAsiaTheme="minorEastAsia"/>
          <w:b/>
          <w:bCs/>
          <w:i/>
          <w:iCs/>
          <w:sz w:val="20"/>
          <w:szCs w:val="20"/>
          <w:lang w:val="en-US" w:eastAsia="zh-CN"/>
        </w:rPr>
      </w:pPr>
      <w:r>
        <w:rPr>
          <w:rFonts w:hint="eastAsia"/>
          <w:b/>
          <w:bCs/>
          <w:i/>
          <w:iCs/>
          <w:sz w:val="20"/>
          <w:szCs w:val="20"/>
          <w:lang w:val="en-US" w:eastAsia="zh-CN"/>
        </w:rPr>
        <w:t>Proposal 1: No need to further consider the impact on SCell activation requirements of cell DTX.</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Use the legacy CHO requirement as the starting point and wait more output from RAN2.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1]</w:t>
      </w:r>
      <w:r>
        <w:rPr>
          <w:rFonts w:hint="eastAsia"/>
          <w:sz w:val="20"/>
          <w:szCs w:val="20"/>
          <w:lang w:val="en-US" w:eastAsia="zh-CN"/>
        </w:rPr>
        <w:t xml:space="preserve"> R4-2317405, WF on RRM requirements for NR network energy saving, </w:t>
      </w:r>
      <w:r>
        <w:rPr>
          <w:rFonts w:hint="eastAsia"/>
          <w:sz w:val="20"/>
          <w:szCs w:val="20"/>
          <w:lang w:val="en-GB" w:eastAsia="zh-CN"/>
        </w:rPr>
        <w:t>Huawei, HiSilicon.</w:t>
      </w:r>
    </w:p>
    <w:p>
      <w:pPr>
        <w:rPr>
          <w:sz w:val="20"/>
          <w:szCs w:val="20"/>
          <w:lang w:val="en-GB"/>
        </w:rPr>
      </w:pPr>
      <w:r>
        <w:rPr>
          <w:rFonts w:hint="eastAsia"/>
          <w:sz w:val="20"/>
          <w:szCs w:val="20"/>
          <w:lang w:val="en-US" w:eastAsia="zh-CN"/>
        </w:rPr>
        <w:t>[2] Chair notes for RAN2#123bis, RAN2.</w:t>
      </w:r>
      <w:r>
        <w:rPr>
          <w:sz w:val="20"/>
          <w:szCs w:val="20"/>
          <w:lang w:val="en-GB"/>
        </w:rPr>
        <w:t xml:space="preserve"> </w:t>
      </w:r>
    </w:p>
    <w:p>
      <w:p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58D02"/>
    <w:multiLevelType w:val="singleLevel"/>
    <w:tmpl w:val="C9458D02"/>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8DC47EE"/>
    <w:multiLevelType w:val="multilevel"/>
    <w:tmpl w:val="28DC47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23969B9"/>
    <w:rsid w:val="03F16F56"/>
    <w:rsid w:val="0434763B"/>
    <w:rsid w:val="059B2FBB"/>
    <w:rsid w:val="06C938D1"/>
    <w:rsid w:val="0775691E"/>
    <w:rsid w:val="08966482"/>
    <w:rsid w:val="09063CAD"/>
    <w:rsid w:val="091F2183"/>
    <w:rsid w:val="0AC91636"/>
    <w:rsid w:val="0AD74098"/>
    <w:rsid w:val="105C4837"/>
    <w:rsid w:val="12CF76D1"/>
    <w:rsid w:val="12F708E7"/>
    <w:rsid w:val="12FB52D6"/>
    <w:rsid w:val="134770B1"/>
    <w:rsid w:val="144F009D"/>
    <w:rsid w:val="154B51FC"/>
    <w:rsid w:val="1584665B"/>
    <w:rsid w:val="175519EF"/>
    <w:rsid w:val="179400E7"/>
    <w:rsid w:val="198E3F9B"/>
    <w:rsid w:val="19977565"/>
    <w:rsid w:val="1C4140A3"/>
    <w:rsid w:val="1C7E3BD3"/>
    <w:rsid w:val="1D0048A3"/>
    <w:rsid w:val="1D2B280C"/>
    <w:rsid w:val="1D5B4C92"/>
    <w:rsid w:val="1D5F76BA"/>
    <w:rsid w:val="1DE54287"/>
    <w:rsid w:val="1EB2708E"/>
    <w:rsid w:val="1F7B71DA"/>
    <w:rsid w:val="20F2158B"/>
    <w:rsid w:val="21F31B70"/>
    <w:rsid w:val="22394DC0"/>
    <w:rsid w:val="2261677D"/>
    <w:rsid w:val="26455B2C"/>
    <w:rsid w:val="26C167B6"/>
    <w:rsid w:val="2884631A"/>
    <w:rsid w:val="28A67D37"/>
    <w:rsid w:val="2A2B6CE0"/>
    <w:rsid w:val="2A807AE4"/>
    <w:rsid w:val="2C5C2FEC"/>
    <w:rsid w:val="2D202CAF"/>
    <w:rsid w:val="2D921625"/>
    <w:rsid w:val="2E464966"/>
    <w:rsid w:val="2F5838B9"/>
    <w:rsid w:val="3007171F"/>
    <w:rsid w:val="30D30737"/>
    <w:rsid w:val="328A418D"/>
    <w:rsid w:val="3346489F"/>
    <w:rsid w:val="34785525"/>
    <w:rsid w:val="362C687B"/>
    <w:rsid w:val="372F4478"/>
    <w:rsid w:val="37491AC0"/>
    <w:rsid w:val="37B97AEF"/>
    <w:rsid w:val="3A10328B"/>
    <w:rsid w:val="3A622FD7"/>
    <w:rsid w:val="3C8009B5"/>
    <w:rsid w:val="3DBA745A"/>
    <w:rsid w:val="3DCE20FC"/>
    <w:rsid w:val="3F0A2F8F"/>
    <w:rsid w:val="41766342"/>
    <w:rsid w:val="4195149B"/>
    <w:rsid w:val="42272596"/>
    <w:rsid w:val="46A8131D"/>
    <w:rsid w:val="46DB4C8A"/>
    <w:rsid w:val="47B63C6D"/>
    <w:rsid w:val="4A9352C8"/>
    <w:rsid w:val="4AA27C3D"/>
    <w:rsid w:val="4B1E335D"/>
    <w:rsid w:val="4B920C94"/>
    <w:rsid w:val="4CC9678E"/>
    <w:rsid w:val="4DA60CF0"/>
    <w:rsid w:val="4E233D62"/>
    <w:rsid w:val="4E2931CA"/>
    <w:rsid w:val="4E4D5343"/>
    <w:rsid w:val="4ED96F0F"/>
    <w:rsid w:val="4EE1228A"/>
    <w:rsid w:val="52735185"/>
    <w:rsid w:val="52F014E6"/>
    <w:rsid w:val="541B64BA"/>
    <w:rsid w:val="550F4C67"/>
    <w:rsid w:val="55633225"/>
    <w:rsid w:val="560918AE"/>
    <w:rsid w:val="5670596C"/>
    <w:rsid w:val="56864D16"/>
    <w:rsid w:val="575F74D4"/>
    <w:rsid w:val="58AA2F55"/>
    <w:rsid w:val="59316355"/>
    <w:rsid w:val="5A0D7524"/>
    <w:rsid w:val="5A624644"/>
    <w:rsid w:val="5B1248DB"/>
    <w:rsid w:val="5B222BDF"/>
    <w:rsid w:val="5C4E7981"/>
    <w:rsid w:val="5E19471E"/>
    <w:rsid w:val="5EC475D6"/>
    <w:rsid w:val="5EFC6FEB"/>
    <w:rsid w:val="60046178"/>
    <w:rsid w:val="623217EC"/>
    <w:rsid w:val="62DF6110"/>
    <w:rsid w:val="63B23700"/>
    <w:rsid w:val="667C7355"/>
    <w:rsid w:val="671059A6"/>
    <w:rsid w:val="673F2C72"/>
    <w:rsid w:val="6A1B0A0D"/>
    <w:rsid w:val="6B8B57B2"/>
    <w:rsid w:val="6BDC7C84"/>
    <w:rsid w:val="6C1B5738"/>
    <w:rsid w:val="6CEC68F6"/>
    <w:rsid w:val="714F65D4"/>
    <w:rsid w:val="727805A8"/>
    <w:rsid w:val="72792716"/>
    <w:rsid w:val="728B33FC"/>
    <w:rsid w:val="738E1AE0"/>
    <w:rsid w:val="75307AD5"/>
    <w:rsid w:val="75FA3264"/>
    <w:rsid w:val="767543BB"/>
    <w:rsid w:val="79951646"/>
    <w:rsid w:val="7B2569DF"/>
    <w:rsid w:val="7BBB337B"/>
    <w:rsid w:val="7BFC1FB1"/>
    <w:rsid w:val="7C3B4CC2"/>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99"/>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basedOn w:val="21"/>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99"/>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Proposal"/>
    <w:basedOn w:val="1"/>
    <w:link w:val="82"/>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2">
    <w:name w:val="Proposal Char"/>
    <w:link w:val="81"/>
    <w:qFormat/>
    <w:uiPriority w:val="0"/>
    <w:rPr>
      <w:rFonts w:ascii="Arial" w:hAnsi="Arial" w:eastAsia="宋体"/>
      <w:b/>
      <w:bCs/>
      <w:lang w:val="en-GB"/>
    </w:rPr>
  </w:style>
  <w:style w:type="character" w:customStyle="1" w:styleId="83">
    <w:name w:val="normaltextrun"/>
    <w:basedOn w:val="21"/>
    <w:qFormat/>
    <w:uiPriority w:val="0"/>
  </w:style>
  <w:style w:type="paragraph" w:customStyle="1" w:styleId="84">
    <w:name w:val="Comments"/>
    <w:basedOn w:val="1"/>
    <w:link w:val="85"/>
    <w:qFormat/>
    <w:uiPriority w:val="0"/>
    <w:pPr>
      <w:spacing w:before="40"/>
    </w:pPr>
    <w:rPr>
      <w:rFonts w:ascii="Arial" w:hAnsi="Arial" w:eastAsia="MS Mincho"/>
      <w:i/>
      <w:sz w:val="18"/>
      <w:lang w:val="en-GB" w:eastAsia="en-GB"/>
    </w:rPr>
  </w:style>
  <w:style w:type="character" w:customStyle="1" w:styleId="85">
    <w:name w:val="Comments Char"/>
    <w:link w:val="84"/>
    <w:qFormat/>
    <w:uiPriority w:val="0"/>
    <w:rPr>
      <w:rFonts w:ascii="Arial" w:hAnsi="Arial" w:eastAsia="MS Mincho"/>
      <w:i/>
      <w:sz w:val="18"/>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4</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2023-11-03T02:33:56Z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